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80"/>
        </w:tabs>
        <w:spacing w:line="239" w:lineRule="auto"/>
        <w:ind w:left="240"/>
        <w:jc w:val="center"/>
        <w:rPr>
          <w:rFonts w:ascii="微软雅黑" w:hAnsi="微软雅黑" w:eastAsia="微软雅黑"/>
          <w:b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/>
          <w:b/>
          <w:sz w:val="30"/>
        </w:rPr>
        <w:t>纸引未来</w:t>
      </w:r>
      <w:r>
        <w:rPr>
          <w:rFonts w:hint="eastAsia" w:ascii="微软雅黑" w:hAnsi="微软雅黑" w:eastAsia="微软雅黑"/>
          <w:b/>
          <w:sz w:val="30"/>
          <w:lang w:eastAsia="zh-CN"/>
        </w:rPr>
        <w:t>平台</w:t>
      </w:r>
      <w:r>
        <w:rPr>
          <w:rFonts w:hint="eastAsia" w:ascii="微软雅黑" w:hAnsi="微软雅黑" w:eastAsia="微软雅黑"/>
          <w:b/>
          <w:sz w:val="30"/>
        </w:rPr>
        <w:t>代理加盟线下合作协议</w:t>
      </w:r>
    </w:p>
    <w:bookmarkEnd w:id="0"/>
    <w:p>
      <w:pPr>
        <w:jc w:val="center"/>
        <w:rPr>
          <w:rFonts w:ascii="黑体" w:eastAsia="黑体"/>
          <w:sz w:val="24"/>
        </w:rPr>
      </w:pPr>
    </w:p>
    <w:p>
      <w:pPr>
        <w:spacing w:line="700" w:lineRule="exact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甲方：广东天舜信息科技有限公司(纸引未来平台)</w:t>
      </w:r>
    </w:p>
    <w:p>
      <w:pPr>
        <w:spacing w:line="200" w:lineRule="exact"/>
        <w:rPr>
          <w:rFonts w:ascii="新宋体" w:hAnsi="新宋体" w:eastAsia="新宋体"/>
          <w:b/>
          <w:sz w:val="24"/>
        </w:rPr>
      </w:pPr>
    </w:p>
    <w:p>
      <w:pPr>
        <w:spacing w:line="460" w:lineRule="exact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 xml:space="preserve">乙方: </w:t>
      </w:r>
    </w:p>
    <w:p>
      <w:pPr>
        <w:spacing w:line="260" w:lineRule="exact"/>
        <w:rPr>
          <w:rFonts w:ascii="新宋体" w:hAnsi="新宋体" w:eastAsia="新宋体"/>
          <w:b/>
          <w:sz w:val="24"/>
        </w:rPr>
      </w:pPr>
    </w:p>
    <w:p>
      <w:pPr>
        <w:spacing w:line="48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纸引未来是造纸印刷包装行业的大数据共享服务平台，也是唯一政府指定平台（2016 年获得广东省经信委造纸行业示范项目的认定），甲乙双方本着平等互利，达成甲乙双方资源优势互补的战略合作，实现合作共赢，并为以后在其他项目上的合作建立一个坚实的基础，经友好协商双方达成如下协议条款：</w:t>
      </w:r>
    </w:p>
    <w:p>
      <w:pPr>
        <w:numPr>
          <w:ilvl w:val="0"/>
          <w:numId w:val="1"/>
        </w:numPr>
        <w:spacing w:line="480" w:lineRule="exact"/>
        <w:ind w:firstLine="482" w:firstLineChars="200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定义</w:t>
      </w:r>
    </w:p>
    <w:p>
      <w:pPr>
        <w:spacing w:line="480" w:lineRule="exact"/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甲方资源及优势：全国性的、专业的纸张平台，可为乙方提供免费的仓储服务，以及为乙方和用户提供供应链金融资金支持；专业的互联网团队，具有强大的线上推广运营能力（有人，有渠道）</w:t>
      </w:r>
    </w:p>
    <w:p>
      <w:pPr>
        <w:spacing w:line="480" w:lineRule="exact"/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乙方资源及优势：直接生产厂家或贸易商，质量价格有保证；具有强大的线下服务能力（有生产，有货）。</w:t>
      </w:r>
    </w:p>
    <w:p>
      <w:pPr>
        <w:spacing w:line="480" w:lineRule="exact"/>
        <w:ind w:firstLine="602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二、合作方式与内容</w:t>
      </w:r>
    </w:p>
    <w:p>
      <w:pPr>
        <w:spacing w:line="480" w:lineRule="exact"/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（1）乙方通过甲方平台开设互联网店铺，方便线上接收甲方货款，同时积累金融信用。</w:t>
      </w:r>
    </w:p>
    <w:p>
      <w:pPr>
        <w:spacing w:line="480" w:lineRule="exact"/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（2）乙方将实物或图片、属性、价格等资料受权给甲方。</w:t>
      </w:r>
    </w:p>
    <w:p>
      <w:pPr>
        <w:spacing w:line="480" w:lineRule="exact"/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（3）甲方全权负责产品上传、推广、销售等工作。</w:t>
      </w:r>
    </w:p>
    <w:p>
      <w:pPr>
        <w:spacing w:line="480" w:lineRule="exact"/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（4）乙方全权负责线下服务，寄样品、发货等工作。</w:t>
      </w:r>
    </w:p>
    <w:p>
      <w:pPr>
        <w:spacing w:line="480" w:lineRule="exact"/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（5）双方还可就其它深度合作方式进行进一步探讨。</w:t>
      </w:r>
    </w:p>
    <w:p>
      <w:pPr>
        <w:spacing w:line="480" w:lineRule="exact"/>
        <w:ind w:firstLine="48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三、甲方的权利与义务</w:t>
      </w:r>
    </w:p>
    <w:p>
      <w:pPr>
        <w:spacing w:line="480" w:lineRule="exact"/>
        <w:ind w:firstLine="720" w:firstLineChars="3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（1）甲方有权对乙方产品和线下服务作考核。</w:t>
      </w:r>
    </w:p>
    <w:p>
      <w:pPr>
        <w:spacing w:line="480" w:lineRule="exact"/>
        <w:ind w:firstLine="720" w:firstLineChars="3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（2）甲方有义务为乙方产品作充分的线上推广和运维。</w:t>
      </w:r>
    </w:p>
    <w:p>
      <w:pPr>
        <w:spacing w:line="480" w:lineRule="exact"/>
        <w:ind w:firstLine="720" w:firstLineChars="3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（3）甲方有义务为乙方提供相应数据资料以适当的形式向乙方进行提示，帮助乙方获得更多发展机会，包括供应链金融。</w:t>
      </w:r>
    </w:p>
    <w:p>
      <w:pPr>
        <w:spacing w:line="480" w:lineRule="exact"/>
        <w:ind w:firstLine="48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四、乙方的权利与义务</w:t>
      </w:r>
    </w:p>
    <w:p>
      <w:pPr>
        <w:pStyle w:val="10"/>
        <w:widowControl w:val="0"/>
        <w:numPr>
          <w:ilvl w:val="0"/>
          <w:numId w:val="2"/>
        </w:numPr>
        <w:spacing w:line="480" w:lineRule="exact"/>
        <w:ind w:firstLineChars="0"/>
        <w:jc w:val="both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乙方保证提供的产品和价格真实性和及时性，如有价格变动需第一时间通知甲方。</w:t>
      </w:r>
    </w:p>
    <w:p>
      <w:pPr>
        <w:pStyle w:val="10"/>
        <w:widowControl w:val="0"/>
        <w:numPr>
          <w:ilvl w:val="0"/>
          <w:numId w:val="2"/>
        </w:numPr>
        <w:spacing w:line="480" w:lineRule="exact"/>
        <w:ind w:firstLineChars="0"/>
        <w:jc w:val="both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乙方有义务为线上客户提供合格的产品，销售的产品与提供的样品必须一致，反之，由此产生的任何不良后果均由乙方承担。</w:t>
      </w:r>
    </w:p>
    <w:p>
      <w:pPr>
        <w:widowControl w:val="0"/>
        <w:numPr>
          <w:ilvl w:val="0"/>
          <w:numId w:val="2"/>
        </w:numPr>
        <w:spacing w:line="480" w:lineRule="exact"/>
        <w:jc w:val="both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乙方有义务为线上客户提供线下服务，包括货物查询、样品提供、货物交期及货物发送等服务。</w:t>
      </w:r>
    </w:p>
    <w:p>
      <w:pPr>
        <w:widowControl w:val="0"/>
        <w:spacing w:line="480" w:lineRule="exact"/>
        <w:ind w:left="720"/>
        <w:jc w:val="both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五、特殊约定</w:t>
      </w:r>
    </w:p>
    <w:p>
      <w:pPr>
        <w:spacing w:line="480" w:lineRule="exact"/>
        <w:ind w:left="580" w:leftChars="50" w:hanging="480" w:hanging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　　   乙方负责发货和样品寄送等线下服务，不得私自联系甲方推送的平台客户，违反此约定，一次性向甲方支付违约金：30万元人民币，并取消合作。</w:t>
      </w:r>
    </w:p>
    <w:p>
      <w:pPr>
        <w:spacing w:line="480" w:lineRule="exact"/>
        <w:ind w:left="707" w:leftChars="350" w:hanging="7" w:hangingChars="3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六、保密／不泄密</w:t>
      </w:r>
    </w:p>
    <w:p>
      <w:pPr>
        <w:spacing w:line="48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本协议中包含的信息是机密的。</w:t>
      </w:r>
    </w:p>
    <w:p>
      <w:pPr>
        <w:spacing w:line="480" w:lineRule="exact"/>
        <w:ind w:firstLine="48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在本协议有效期内及终止后，甲方和乙方都不得将本协议中的任何商务信息泄露给任何第三方。任何材料及信息严格保密。</w:t>
      </w:r>
    </w:p>
    <w:p>
      <w:pPr>
        <w:spacing w:line="480" w:lineRule="exact"/>
        <w:ind w:left="708" w:leftChars="354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七、不可抗力</w:t>
      </w:r>
    </w:p>
    <w:p>
      <w:pPr>
        <w:spacing w:line="480" w:lineRule="exact"/>
        <w:ind w:firstLine="48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由于不可抗力而无法履行服务时，乙方应立即通知甲方并采取有效措施将损失减小到最低限度。</w:t>
      </w:r>
    </w:p>
    <w:p>
      <w:pPr>
        <w:spacing w:line="480" w:lineRule="exact"/>
        <w:ind w:left="707" w:leftChars="350" w:hanging="7" w:hangingChars="3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八、争议解决</w:t>
      </w:r>
    </w:p>
    <w:p>
      <w:pPr>
        <w:spacing w:line="480" w:lineRule="exact"/>
        <w:ind w:firstLine="48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1、对于因本协议履行而发生的争议，双方友好协商解决；</w:t>
      </w:r>
    </w:p>
    <w:p>
      <w:pPr>
        <w:spacing w:line="480" w:lineRule="exact"/>
        <w:ind w:firstLine="48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2、协商不成的，任何一方可向广州市黄埔区法院起诉。</w:t>
      </w:r>
    </w:p>
    <w:p>
      <w:pPr>
        <w:spacing w:line="480" w:lineRule="exact"/>
        <w:ind w:left="707" w:leftChars="350" w:hanging="7" w:hangingChars="3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九、其他</w:t>
      </w:r>
    </w:p>
    <w:p>
      <w:pPr>
        <w:spacing w:line="480" w:lineRule="exact"/>
        <w:ind w:firstLine="48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本合同，一式两份。甲乙双方各执一份，且传真件、扫描件具有同等法律效力。</w:t>
      </w:r>
    </w:p>
    <w:p>
      <w:pPr>
        <w:spacing w:line="700" w:lineRule="exact"/>
        <w:rPr>
          <w:rFonts w:ascii="新宋体" w:hAnsi="新宋体" w:eastAsia="新宋体"/>
          <w:b/>
          <w:sz w:val="22"/>
          <w:szCs w:val="22"/>
        </w:rPr>
      </w:pPr>
      <w:r>
        <w:rPr>
          <w:rFonts w:hint="eastAsia" w:ascii="新宋体" w:hAnsi="新宋体" w:eastAsia="新宋体"/>
          <w:b/>
          <w:sz w:val="22"/>
          <w:szCs w:val="22"/>
        </w:rPr>
        <w:t xml:space="preserve">甲方:广东天舜信息科技有限公司（纸引未来平台）            乙方: </w:t>
      </w:r>
    </w:p>
    <w:p>
      <w:pPr>
        <w:spacing w:line="700" w:lineRule="exact"/>
        <w:rPr>
          <w:rFonts w:ascii="新宋体" w:hAnsi="新宋体" w:eastAsia="新宋体"/>
          <w:b/>
          <w:sz w:val="22"/>
          <w:szCs w:val="22"/>
        </w:rPr>
      </w:pPr>
      <w:r>
        <w:rPr>
          <w:rFonts w:hint="eastAsia" w:ascii="新宋体" w:hAnsi="新宋体" w:eastAsia="新宋体"/>
          <w:b/>
          <w:sz w:val="22"/>
          <w:szCs w:val="22"/>
        </w:rPr>
        <w:t>签约人:                                                  签约人：</w:t>
      </w:r>
    </w:p>
    <w:p>
      <w:pPr>
        <w:spacing w:line="700" w:lineRule="exact"/>
        <w:rPr>
          <w:rFonts w:ascii="新宋体" w:hAnsi="新宋体" w:eastAsia="新宋体"/>
          <w:b/>
          <w:sz w:val="22"/>
          <w:szCs w:val="22"/>
        </w:rPr>
      </w:pPr>
      <w:r>
        <w:rPr>
          <w:rFonts w:hint="eastAsia" w:ascii="新宋体" w:hAnsi="新宋体" w:eastAsia="新宋体"/>
          <w:b/>
          <w:sz w:val="22"/>
          <w:szCs w:val="22"/>
        </w:rPr>
        <w:t xml:space="preserve">日期:                                                    日期: </w:t>
      </w:r>
    </w:p>
    <w:sectPr>
      <w:headerReference r:id="rId3" w:type="default"/>
      <w:footerReference r:id="rId4" w:type="default"/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8334575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ind w:right="360" w:firstLine="180" w:firstLineChars="100"/>
      <w:rPr>
        <w:rFonts w:asciiTheme="minorEastAsia" w:hAnsiTheme="minor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447675" cy="591820"/>
          <wp:effectExtent l="0" t="0" r="9525" b="0"/>
          <wp:docPr id="1" name="图片 1" descr="天舜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天舜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155" cy="595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</w:t>
    </w:r>
    <w:r>
      <w:rPr>
        <w:rFonts w:hint="eastAsia"/>
        <w:b/>
        <w:sz w:val="21"/>
        <w:szCs w:val="21"/>
      </w:rPr>
      <w:t>广东天舜信息科技有限公司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E09"/>
    <w:multiLevelType w:val="multilevel"/>
    <w:tmpl w:val="0B671E09"/>
    <w:lvl w:ilvl="0" w:tentative="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91EED80"/>
    <w:multiLevelType w:val="singleLevel"/>
    <w:tmpl w:val="591EED8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93"/>
    <w:rsid w:val="000A3745"/>
    <w:rsid w:val="000C1E08"/>
    <w:rsid w:val="00106EEB"/>
    <w:rsid w:val="001547A9"/>
    <w:rsid w:val="001A06ED"/>
    <w:rsid w:val="001D2864"/>
    <w:rsid w:val="001E0514"/>
    <w:rsid w:val="001F1DB8"/>
    <w:rsid w:val="00230FFF"/>
    <w:rsid w:val="002511D6"/>
    <w:rsid w:val="002E7193"/>
    <w:rsid w:val="002F0F2D"/>
    <w:rsid w:val="002F3A14"/>
    <w:rsid w:val="00322DDA"/>
    <w:rsid w:val="00347CFB"/>
    <w:rsid w:val="00361F2D"/>
    <w:rsid w:val="0036378F"/>
    <w:rsid w:val="0037117E"/>
    <w:rsid w:val="00396293"/>
    <w:rsid w:val="003E7C98"/>
    <w:rsid w:val="00413BCF"/>
    <w:rsid w:val="00445679"/>
    <w:rsid w:val="004E7421"/>
    <w:rsid w:val="00506C7C"/>
    <w:rsid w:val="00553FE5"/>
    <w:rsid w:val="00576100"/>
    <w:rsid w:val="006307D7"/>
    <w:rsid w:val="00670B70"/>
    <w:rsid w:val="006935CB"/>
    <w:rsid w:val="006B6FC2"/>
    <w:rsid w:val="00724FAD"/>
    <w:rsid w:val="00744382"/>
    <w:rsid w:val="007924C8"/>
    <w:rsid w:val="008115D6"/>
    <w:rsid w:val="00821737"/>
    <w:rsid w:val="00841F58"/>
    <w:rsid w:val="008637EB"/>
    <w:rsid w:val="008D56D3"/>
    <w:rsid w:val="0091398D"/>
    <w:rsid w:val="00921B76"/>
    <w:rsid w:val="00926D55"/>
    <w:rsid w:val="00945D7C"/>
    <w:rsid w:val="00A46DA3"/>
    <w:rsid w:val="00A7004E"/>
    <w:rsid w:val="00AA75AD"/>
    <w:rsid w:val="00AC674D"/>
    <w:rsid w:val="00B11B4A"/>
    <w:rsid w:val="00B412BD"/>
    <w:rsid w:val="00B47237"/>
    <w:rsid w:val="00B61BA1"/>
    <w:rsid w:val="00B62BF5"/>
    <w:rsid w:val="00B8144B"/>
    <w:rsid w:val="00BE4562"/>
    <w:rsid w:val="00C072E4"/>
    <w:rsid w:val="00C250C7"/>
    <w:rsid w:val="00C54B14"/>
    <w:rsid w:val="00C90982"/>
    <w:rsid w:val="00C93BC3"/>
    <w:rsid w:val="00CA7D03"/>
    <w:rsid w:val="00D02285"/>
    <w:rsid w:val="00D639C1"/>
    <w:rsid w:val="00D83B9C"/>
    <w:rsid w:val="00DA0CB4"/>
    <w:rsid w:val="00DA6369"/>
    <w:rsid w:val="00DA74F5"/>
    <w:rsid w:val="00E10B8C"/>
    <w:rsid w:val="00E16D7C"/>
    <w:rsid w:val="00E22FB3"/>
    <w:rsid w:val="00E27AFD"/>
    <w:rsid w:val="00E378F3"/>
    <w:rsid w:val="00E608ED"/>
    <w:rsid w:val="00E7324E"/>
    <w:rsid w:val="00EF0E24"/>
    <w:rsid w:val="00EF50CD"/>
    <w:rsid w:val="00F7128E"/>
    <w:rsid w:val="00F952B9"/>
    <w:rsid w:val="00FA0E69"/>
    <w:rsid w:val="092C289B"/>
    <w:rsid w:val="0BE97A89"/>
    <w:rsid w:val="13326640"/>
    <w:rsid w:val="1CA61773"/>
    <w:rsid w:val="1FA97DFD"/>
    <w:rsid w:val="24280B9F"/>
    <w:rsid w:val="2838793E"/>
    <w:rsid w:val="294A6F9A"/>
    <w:rsid w:val="36A34E16"/>
    <w:rsid w:val="3B96349B"/>
    <w:rsid w:val="46D672B7"/>
    <w:rsid w:val="566006E6"/>
    <w:rsid w:val="56650A6C"/>
    <w:rsid w:val="569645BB"/>
    <w:rsid w:val="5B3E7073"/>
    <w:rsid w:val="5E136F29"/>
    <w:rsid w:val="6B42781F"/>
    <w:rsid w:val="7CE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2017-09-18T09:00:00Z</dcterms:created>
  <dc:creator>gzlx</dc:creator>
  <cp:lastModifiedBy>sf008-舜丰</cp:lastModifiedBy>
  <dcterms:modified xsi:type="dcterms:W3CDTF">2017-11-08T10:05:15Z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